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9900"/>
          <w:spacing w:val="0"/>
          <w:position w:val="0"/>
          <w:sz w:val="3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9900"/>
          <w:spacing w:val="0"/>
          <w:position w:val="0"/>
          <w:sz w:val="38"/>
          <w:shd w:fill="auto" w:val="clear"/>
        </w:rPr>
        <w:t xml:space="preserve">             </w:t>
      </w:r>
      <w:r>
        <w:rPr>
          <w:rFonts w:ascii="Times New Roman" w:hAnsi="Times New Roman" w:cs="Times New Roman" w:eastAsia="Times New Roman"/>
          <w:b/>
          <w:i/>
          <w:color w:val="009900"/>
          <w:spacing w:val="0"/>
          <w:position w:val="0"/>
          <w:sz w:val="38"/>
          <w:shd w:fill="auto" w:val="clear"/>
        </w:rPr>
        <w:t xml:space="preserve"> </w:t>
      </w:r>
      <w:r>
        <w:rPr>
          <w:rFonts w:ascii="Cambria" w:hAnsi="Cambria" w:cs="Cambria" w:eastAsia="Cambria"/>
          <w:b/>
          <w:i/>
          <w:color w:val="009900"/>
          <w:spacing w:val="0"/>
          <w:position w:val="0"/>
          <w:sz w:val="38"/>
          <w:shd w:fill="auto" w:val="clear"/>
        </w:rPr>
        <w:t xml:space="preserve">Антикоррупционная</w:t>
      </w:r>
      <w:r>
        <w:rPr>
          <w:rFonts w:ascii="Times New Roman" w:hAnsi="Times New Roman" w:cs="Times New Roman" w:eastAsia="Times New Roman"/>
          <w:b/>
          <w:i/>
          <w:color w:val="009900"/>
          <w:spacing w:val="0"/>
          <w:position w:val="0"/>
          <w:sz w:val="38"/>
          <w:shd w:fill="auto" w:val="clear"/>
        </w:rPr>
        <w:t xml:space="preserve"> </w:t>
      </w:r>
      <w:r>
        <w:rPr>
          <w:rFonts w:ascii="Cambria" w:hAnsi="Cambria" w:cs="Cambria" w:eastAsia="Cambria"/>
          <w:b/>
          <w:i/>
          <w:color w:val="009900"/>
          <w:spacing w:val="0"/>
          <w:position w:val="0"/>
          <w:sz w:val="38"/>
          <w:shd w:fill="auto" w:val="clear"/>
        </w:rPr>
        <w:t xml:space="preserve">экспертиз</w:t>
      </w:r>
      <w:r>
        <w:rPr>
          <w:rFonts w:ascii="Times New Roman" w:hAnsi="Times New Roman" w:cs="Times New Roman" w:eastAsia="Times New Roman"/>
          <w:b/>
          <w:i/>
          <w:color w:val="009900"/>
          <w:spacing w:val="0"/>
          <w:position w:val="0"/>
          <w:sz w:val="38"/>
          <w:shd w:fill="auto" w:val="clear"/>
        </w:rPr>
        <w:t xml:space="preserve">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  <w:t xml:space="preserve">Общие принципы проведения антикоррупционной экспертизы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последние годы особое внимание было уделено разработке российского антикоррупционного законодательства.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результате был принят Федеральный закон от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25.12.2008 № 273-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противодействии коррупции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» (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далее — Закон №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273-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ФЗ), который установил основные принципы противодействия коррупции, правовые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организационные основы предупреждения коррупции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борьбы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ней, минимизации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 (или) ликвидации последствий коррупционных правонарушений. Также Законом №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273-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 закреплены основные меры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профилактике коррупции, одной из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которых является антикоррупционная экспертиза правовых актов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целях реализации положений Закона №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273-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части проведения антикоррупционной экспертизы принят Федеральный закон от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17.07.2009 № 172-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антикоррупционной экспертизе нормативных правовых актов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нормативных правовых актов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» (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далее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Закон №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172-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ФЗ). Он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устанавливает правовые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организационные основы антикоррупционной экспертизы нормативных правовых актов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нормативных правовых актов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целяхвыявления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них коррупциогенных факторов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последующего устранения.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актов), закрепленными Законом № 172-ФЗ, являются: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обязательность проведения антикоррупционной экспертизы проектов нормативных правовых актов;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оценка нормативного правового акта во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взаимосвязи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другими нормативными правовыми актами;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обоснованность, объективность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сотрудничество федеральных органов исполнительной власти, иных государственных органов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организаций, органов государственной власти субъектов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РФ, органов местного самоуправления, 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также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должностных лиц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7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7"/>
          <w:shd w:fill="FFFFFF" w:val="clear"/>
        </w:rPr>
        <w:t xml:space="preserve">Кто вправе проводить антикоррупционную экспертизу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Проведение антикоррупционной экспертизы нормативных правовых актов (проектов нормативных правовых актов) Законом №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172-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 возложено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прокуратуру Российской Федерации, федеральный орган исполнительной власти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области юстиции (Минюст России), 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также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органы, организации,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должностных лиц.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Прокуроры проводят антикоррупционную экспертизу нормативных правовых актов органов, организаций,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должностных лиц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ходе осуществления своих полномочий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вопросам, касающимся: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прав, свобод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обязанностей человека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гражданина;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государственной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муниципальной собственности, государственной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лицензировании, 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также законодательства, регулирующего деятельность государственных корпораций, фондов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иных организаций, создаваемых Российской Федерацией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основании федерального закона;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Минюст России проводит антикоррупционную экспертизу: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федеральных законов, проектов указов Президента Российской Федерации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организациями,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 проведении их правовой экспертизы;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концепций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технических заданий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разработку проектов федеральных законов, проектов официальных отзывов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заключений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проекты федеральных законов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 проведении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правовой экспертизы;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нормативных правовых актов федеральных органов исполнительной власти, иных государственных органов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организаций, затрагивающих права, свободы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обязанности человека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гражданина, устанавливающих правовой статус организаций или имеющих межведомственный характер, 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также уставов муниципальных образований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муниципальных правовых актов 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внесении изменений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уставы муниципальных образований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государственной регистрации;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нормативных правовых актов субъектов Российской Федерации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 мониторинге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применения.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Органы, организации,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правовой экспертизы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мониторинге их применения.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7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7"/>
          <w:shd w:fill="FFFFFF" w:val="clear"/>
        </w:rPr>
        <w:t xml:space="preserve">Методика проведения антикоррупционной экспертизы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Прокуратура российской Федерации, Минюст России, органы, организации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их должностные лица проводят антикоррупционную экспертизу согласно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Методике проведения антикоррупционной экспертизы нормативных правовых актов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нормативных правовых актов, утвержденной постановлением Правительства РФ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26.02.2010 № 96 (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далее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Методика).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Так,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Методике выделено два вида коррупциогенных факторов: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устанавливающие для правоприменителя необоснованно широкие пределы усмотрения или возможность необоснованного применения исключений из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общих правил;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содержащие неопределенные, трудновыполнимые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 (или) обременительные требования к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гражданам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организациям.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К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первому виду коррупциогенных факторов относятся: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широта дискреционных полномочий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определение компетенции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формуле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вправе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»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диспозитивное установление возможности совершения органами государственной власти или органами местного самоуправления (их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должностными лицами) действий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отношении граждан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организаций;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выборочное изменение объема прав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возможность необоснованного установления исключений из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общего порядка для граждан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организаций по усмотрению органов государственной власти или органов местного самоуправления (их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должностных лиц);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чрезмерная свобода подзаконного нормотворчества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наличие бланкетных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отсылочных норм, приводящее к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принятию подзаконных актов, вторгающихся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принятие нормативного правового акта за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пределами компетенции — нарушение компетенции органов государственной власти или органов местного самоуправления (их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должностных лиц) при принятии нормативных правовых актов;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заполнение законодательных пробелов при помощи подзаконных актов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отсутствие законодательной делегации соответствующих полномочий — установление общеобязательных правил поведения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подзаконном акте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условиях отсутствия закона;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отсутствие или неполнота административных процедур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отсутствие порядка совершения органами государственной власти или органами местного самоуправления (их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должностными лицами) определенных действий либо одного из элементов такого порядка;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отказ от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конкурсных (аукционных) процедур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закрепление административного порядка предоставления права (блага).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Ко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второму виду коррупциогенных факторов можно отнести: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наличие завышенных требований к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лицу, предъявляемых для реализации принадлежащего ему права,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установление неопределенных, трудновыполнимых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обременительных требований к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гражданам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организациям;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злоупотребление правом заявителя органами государственной власти или органами местного самоуправления (их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должностными лицами)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отсутствие четкой регламентации прав граждан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организаций;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юридико-лингвистическая неопределенность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употребление неустоявшихся, двусмысленных терминов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категорий оценочного характера.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Выявленные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нормативных правовых актах (проектах нормативных правовых актов) коррупциогенные факторы отражаются: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требовании прокурора об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изменении нормативного правового акта или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обращении прокурора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суд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порядке, предусмотренном процессуальным законодательством Российской Федерации;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300" w:hanging="36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заключении, составляемом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итогам антикоррупционной экспертизы, — при проведении указанной экспертизы Минюстом России, 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также органами, организациями,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должностными лицами.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b/>
          <w:i/>
          <w:color w:val="444545"/>
          <w:spacing w:val="0"/>
          <w:position w:val="0"/>
          <w:sz w:val="21"/>
          <w:shd w:fill="FFFFFF" w:val="clear"/>
        </w:rPr>
        <w:t xml:space="preserve">требовании прокурора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 изменении нормативного правового акта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заключении должны быть указаны выявленные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нормативном правовом акте (проекте нормативного правового акта) коррупциогенные факторы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предложены способы их устранения.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i/>
          <w:color w:val="444545"/>
          <w:spacing w:val="0"/>
          <w:position w:val="0"/>
          <w:sz w:val="21"/>
          <w:shd w:fill="FFFFFF" w:val="clear"/>
        </w:rPr>
        <w:t xml:space="preserve">Заключение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носит рекомендательный характер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подлежит обязательному рассмотрению соответствующим органом, организацией или должностным лицом.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  <w:t xml:space="preserve">Независимая антикоррупционная экспертиза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Институты гражданского общества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граждане могут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порядке, предусмотренном нормативными правовыми актами Российской Федерации, проводить независимую антикоррупционную экспертизу нормативных правовых актов (проектов нормативных правовых актов) за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счет собственных средств (ч. 1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ст. 5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Закона № 172-ФЗ).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Независимая антикоррупционная экспертиза проводится юридическими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физическими лицами, аккредитованными Минюстом России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качестве независимых экспертов антикоррупционной экспертизы нормативных правовых актов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нормативных правовых актов,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соответствии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Методикой.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РФ, проектов концепций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технических заданий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разработку проектов федеральных законов, проектов официальных отзывов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заключений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проекты федеральных законов федеральные органы исполнительной власти, иные государственные органы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разработчики проектов нормативных правовых актов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течение рабочего дня, соответствующего дню направления указанных проектов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согласование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государственные органы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организации согласно пункту 57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Регламента Правительства Российской Федерации</w:t>
      </w:r>
      <w:r>
        <w:rPr>
          <w:rFonts w:ascii="Arial" w:hAnsi="Arial" w:cs="Arial" w:eastAsia="Arial"/>
          <w:i/>
          <w:color w:val="444545"/>
          <w:spacing w:val="0"/>
          <w:position w:val="0"/>
          <w:sz w:val="16"/>
          <w:shd w:fill="FFFFFF" w:val="clear"/>
          <w:vertAlign w:val="superscript"/>
        </w:rPr>
        <w:t xml:space="preserve">1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, размещают эти проекты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своих официальных сайтах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Интернете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указанием дат начала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окончания приема заключений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результатам независимой антикоррупционной экспертизы.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Для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организаций, затрагивающих права, свободы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обязанности человека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—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разработчики проектов нормативных правовых актов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течение рабочего дня, соответствующего дню направления указанных проектов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рассмотрение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юридическую службу федеральных органов исполнительной власти, иных государственных органов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организаций, размещают эти проекты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своих официальных сайтах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Интернете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указанием дат начала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окончания приема заключений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результатам независимой антикоррупционной экспертизы.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Результаты независимой антикоррупционной экспертизы отражаются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заключении.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нем должны быть указаны выявленные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нормативном правовом акте (проекте нормативного правового акта) коррупциогенные факторы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предложены способы 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устранения. Такое заключение носит рекомендательный характер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подлежит обязательному рассмотрению органом, организацией или должностным лицом, которым оно направлено,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30-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дневный срок со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дня его получения.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результатам рассмотрения гражданину или организации, проводившим независимую экспертизу, направляется мотивированный ответ, за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исключением случаев, когда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заключении отсутствует предложение 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способе устранения выявленных коррупциогенных факторов.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Обратите внимание: проекты федеральных законов, указов Президента Российской Федерации, постановлений Правительства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РФ, концепций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технических заданий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разработку проектов федеральных законов, официальных отзывов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заключений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проекты федеральных законов вносятся Президенту Российской Федерации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 (или)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Правительство РФ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приложением поступивших заключений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результатам независимой антикоррупционной экспертизы. Причем государственная регистрация нормативных правовых актов федеральных органов исполнительной власти, которую осуществляет Минюст России, ведущий Государственный реестр нормативных правовых актов федеральных органов исполнительной власти, включает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себя,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частности, сведения 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проведении независимой антикоррупционной экспертизы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приложением копий заключений по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результатам такой экспертизы. Об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этом говорится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Правилах проведения антикоррупционной экспертизы нормативных правовых актов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нормативных правовых актов, утвержденных постановлением Правительства РФ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26.02.2010 № 96,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Правилах подготовки нормативных правовых актов федеральных органов исполнительной власти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их государственной регистрации, утвержденных постановлением Правительства РФ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от 13.08.97 №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1009.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  <w:t xml:space="preserve">Порядок проведения антикоррупционной экспертизы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  <w:t xml:space="preserve">нормативных правовых актов (их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36"/>
          <w:shd w:fill="FFFFFF" w:val="clear"/>
        </w:rPr>
        <w:t xml:space="preserve">проектов) ФНС России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федеральные органы исполнительной власти возлагается обязанность по проведению антикоррупционной экспертизы нормативных правовых актов (проектов нормативных правовых актов)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соответствии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Законом №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172-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порядке, установленном нормативными правовыми актами соответствующих федеральных органов исполнительной власти,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согласно Методике, определенной Правительством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РФ (п. 3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ч. 1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ст. 3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Закона №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172-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ФЗ).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Во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исполнение указанной нормы ФНС России был издан Порядок проведения антикоррупционной экспертизы нормативных правовых актов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нормативных правовых актов Федеральной налоговой службы, утвержденный приказом от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24.08.2010 № 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ММВ-7-7/415@</w:t>
      </w:r>
      <w:r>
        <w:rPr>
          <w:rFonts w:ascii="Arial" w:hAnsi="Arial" w:cs="Arial" w:eastAsia="Arial"/>
          <w:i/>
          <w:color w:val="444545"/>
          <w:spacing w:val="0"/>
          <w:position w:val="0"/>
          <w:sz w:val="16"/>
          <w:shd w:fill="FFFFFF" w:val="clear"/>
          <w:vertAlign w:val="superscript"/>
        </w:rPr>
        <w:t xml:space="preserve">2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(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далее — Порядок).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Порядок определяет правила проведения антикоррупционной экспертизы нормативных правовых актов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проектов нормативных правовых актов Федеральной налоговой службы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устанавливает цель ее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проведения — выявление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нормативных правовых актах (проектах нормативных правовых актов) ФНС России коррупциогенных факторов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их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последующее устранение.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Антикоррупционная экспертиза проектов нормативных правовых актов проводится юридической службой ФНС России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соответствии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Методикой при проведении правовой экспертизы.</w:t>
      </w:r>
    </w:p>
    <w:p>
      <w:pPr>
        <w:spacing w:before="0" w:after="36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Следует отметить, что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соответствии с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пунктом 5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Порядка на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стадии подготовки проекта нормативного правового акта структурным подразделением центрального аппарата ФНС России, являющимся разработчиком проекта,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целях избежания включения в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него коррупциогенных факторов также используется Методика.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Методика применяется и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444545"/>
          <w:spacing w:val="0"/>
          <w:position w:val="0"/>
          <w:sz w:val="21"/>
          <w:shd w:fill="FFFFFF" w:val="clear"/>
        </w:rPr>
        <w:t xml:space="preserve">при осуществлении структурными подразделениями центрального аппарата Федеральной налоговой службы мониторинга применения ее нормативных правовых актов.</w:t>
      </w:r>
    </w:p>
    <w:p>
      <w:pPr>
        <w:spacing w:before="0" w:after="200" w:line="276"/>
        <w:ind w:right="0" w:left="-426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4">
    <w:abstractNumId w:val="36"/>
  </w:num>
  <w:num w:numId="7">
    <w:abstractNumId w:val="30"/>
  </w:num>
  <w:num w:numId="9">
    <w:abstractNumId w:val="24"/>
  </w:num>
  <w:num w:numId="13">
    <w:abstractNumId w:val="18"/>
  </w:num>
  <w:num w:numId="15">
    <w:abstractNumId w:val="12"/>
  </w:num>
  <w:num w:numId="17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